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BA7F3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Eating Drinking and Swallowing Competency Framework</w:t>
      </w:r>
    </w:p>
    <w:p w14:paraId="44A6C143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50F2B8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It is recommended that,</w:t>
      </w:r>
    </w:p>
    <w:p w14:paraId="587C4C57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where training courses for the assessment and management of dysphagia are being</w:t>
      </w:r>
    </w:p>
    <w:p w14:paraId="33899B18" w14:textId="77777777" w:rsidR="00E461A0" w:rsidRDefault="002C3533" w:rsidP="002C3533">
      <w:pPr>
        <w:rPr>
          <w:rFonts w:ascii="Arial" w:hAnsi="Arial" w:cs="Arial"/>
        </w:rPr>
      </w:pPr>
      <w:r>
        <w:rPr>
          <w:rFonts w:ascii="Arial" w:hAnsi="Arial" w:cs="Arial"/>
        </w:rPr>
        <w:t>developed, the training should be informed by this competence framework.</w:t>
      </w:r>
    </w:p>
    <w:p w14:paraId="410FBA5D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elements within the six levels specifically relate to eating, drinking and swallowing. The</w:t>
      </w:r>
    </w:p>
    <w:p w14:paraId="136D690A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individual should be familiar with and consider national policies, procedures and guidelines</w:t>
      </w:r>
    </w:p>
    <w:p w14:paraId="676363A5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together with other resources, frameworks and approaches underpinning healthcare that</w:t>
      </w:r>
    </w:p>
    <w:p w14:paraId="6AF2A7ED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provide further context to eating, drinking and swallowing. These include, for example,</w:t>
      </w:r>
    </w:p>
    <w:p w14:paraId="7A211A04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ethical and legal issues, communication, capacity and consent, anticipatory care planning,</w:t>
      </w:r>
    </w:p>
    <w:p w14:paraId="62F01372" w14:textId="77777777" w:rsidR="002C3533" w:rsidRDefault="002C3533" w:rsidP="002C3533">
      <w:pPr>
        <w:rPr>
          <w:rFonts w:ascii="Arial" w:hAnsi="Arial" w:cs="Arial"/>
        </w:rPr>
      </w:pPr>
      <w:r>
        <w:rPr>
          <w:rFonts w:ascii="Arial" w:hAnsi="Arial" w:cs="Arial"/>
        </w:rPr>
        <w:t>and the International Dysphagia Diet Standardisation Initiative (IDDSI).</w:t>
      </w:r>
    </w:p>
    <w:p w14:paraId="2F26F054" w14:textId="77777777" w:rsidR="002C3533" w:rsidRDefault="002C3533" w:rsidP="002C3533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Level 1 Public Health Messages, Awareness</w:t>
      </w:r>
    </w:p>
    <w:p w14:paraId="03DEA049" w14:textId="77777777" w:rsidR="002C3533" w:rsidRDefault="002C3533" w:rsidP="002C3533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Level 2 Care Plan Implementation</w:t>
      </w:r>
    </w:p>
    <w:p w14:paraId="0EB7B4DD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Level 3 Identification and Implementation of</w:t>
      </w:r>
    </w:p>
    <w:p w14:paraId="38A2396F" w14:textId="77777777" w:rsidR="002C3533" w:rsidRDefault="002C3533" w:rsidP="002C3533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an interim eating and drinking plan</w:t>
      </w:r>
    </w:p>
    <w:p w14:paraId="4282252D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Level 4 Protocol-guided Assessment and</w:t>
      </w:r>
    </w:p>
    <w:p w14:paraId="15D8FEA0" w14:textId="77777777" w:rsidR="002C3533" w:rsidRDefault="002C3533" w:rsidP="002C3533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Management</w:t>
      </w:r>
    </w:p>
    <w:p w14:paraId="40ACFA58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Level 5 Specialist Assessment and</w:t>
      </w:r>
    </w:p>
    <w:p w14:paraId="470CE0FA" w14:textId="77777777" w:rsidR="002C3533" w:rsidRDefault="002C3533" w:rsidP="002C3533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Management</w:t>
      </w:r>
    </w:p>
    <w:p w14:paraId="541FBCF2" w14:textId="77777777" w:rsidR="002C3533" w:rsidRDefault="002C3533" w:rsidP="002C35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Level 6 Consultant Assessment and</w:t>
      </w:r>
    </w:p>
    <w:p w14:paraId="60A07FDB" w14:textId="77777777" w:rsidR="002C3533" w:rsidRDefault="002C3533" w:rsidP="002C3533">
      <w:r>
        <w:rPr>
          <w:rFonts w:ascii="Arial" w:hAnsi="Arial" w:cs="Arial"/>
          <w:b/>
          <w:bCs/>
          <w:sz w:val="36"/>
          <w:szCs w:val="36"/>
        </w:rPr>
        <w:t>Management</w:t>
      </w:r>
    </w:p>
    <w:sectPr w:rsidR="002C3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533"/>
    <w:rsid w:val="002C3533"/>
    <w:rsid w:val="007F2A4A"/>
    <w:rsid w:val="00BB3325"/>
    <w:rsid w:val="00E751EC"/>
    <w:rsid w:val="00FF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F7A1E"/>
  <w15:chartTrackingRefBased/>
  <w15:docId w15:val="{0FB88395-A133-40A3-A6C7-12A2A824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Somersert NHS Foundation Trust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Dockings Karen (Somerset Partnership)</dc:creator>
  <cp:keywords/>
  <dc:description/>
  <cp:lastModifiedBy>Jenny Berkley</cp:lastModifiedBy>
  <cp:revision>2</cp:revision>
  <dcterms:created xsi:type="dcterms:W3CDTF">2020-06-25T13:53:00Z</dcterms:created>
  <dcterms:modified xsi:type="dcterms:W3CDTF">2026-06-16T09:40:00Z</dcterms:modified>
</cp:coreProperties>
</file>